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c183939334e0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14146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II. O.Š. VARAŽDIN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782.819,71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810.495,73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913.159,23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791.640,26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18.855,47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5.600,50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5.513,74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17.642,47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center"/>
      </w:pPr>
      <w:r>
        <w:rPr>
          <w:b/>
        </w:rPr>
        <w:t xml:space="preserve">Izvještaj o prihodima i rashodima, primicima i izdacima</w:t>
      </w:r>
    </w:p>
    <w:p>
      <w:pPr>
        <w:jc w:val="center"/>
      </w:pPr>
      <w:r>
        <w:t xml:space="preserve">Bilješka 1.</w:t>
      </w:r>
    </w:p>
    <w:tbl>
      <w:tblPr>
        <w:tblStyle w:val="TableGrid"/>
        <w:tblW w:w="4365.53" w:type="pct"/>
      </w:tblPr>
      <w:tblGrid>
        <w:gridCol w:w="1385"/>
        <w:gridCol w:w="1741"/>
        <w:gridCol w:w="629"/>
        <w:gridCol w:w="1804"/>
        <w:gridCol w:w="1841"/>
        <w:gridCol w:w="2225"/>
      </w:tblGrid>
      <w:tr>
        <w:trPr>
          <w:trHeight w:val="1212" w:hRule="atLeast"/>
        </w:trPr>
        <w:tc>
          <w:tcPr>
            <w:tcW w:w="719" w:type="pct"/>
            <w:vAlign w:val="center"/>
          </w:tcPr>
          <w:p>
            <w:r>
              <w:t xml:space="preserve">Račun iz račun. plana</w:t>
            </w:r>
          </w:p>
        </w:tc>
        <w:tc>
          <w:tcPr>
            <w:tcW w:w="904" w:type="pct"/>
            <w:vAlign w:val="center"/>
          </w:tcPr>
          <w:p>
            <w:r>
              <w:t xml:space="preserve">Opis stavke</w:t>
            </w:r>
          </w:p>
        </w:tc>
        <w:tc>
          <w:tcPr>
            <w:tcW w:w="326" w:type="pct"/>
            <w:vAlign w:val="center"/>
          </w:tcPr>
          <w:p>
            <w:r>
              <w:t xml:space="preserve">Šifra</w:t>
            </w:r>
          </w:p>
        </w:tc>
        <w:tc>
          <w:tcPr>
            <w:tcW w:w="937" w:type="pct"/>
            <w:vAlign w:val="center"/>
          </w:tcPr>
          <w:p>
            <w:r>
              <w:t xml:space="preserve">Ostvareno u izvještajnom razdoblju prethodne godine</w:t>
            </w:r>
          </w:p>
        </w:tc>
        <w:tc>
          <w:tcPr>
            <w:tcW w:w="956" w:type="pct"/>
            <w:vAlign w:val="center"/>
          </w:tcPr>
          <w:p>
            <w:r>
              <w:t xml:space="preserve">Ostvareno u izvještajnom razdoblju tekuće godine</w:t>
            </w:r>
          </w:p>
        </w:tc>
        <w:tc>
          <w:tcPr>
            <w:tcW w:w="1156" w:type="pct"/>
            <w:vAlign w:val="center"/>
          </w:tcPr>
          <w:p>
            <w:r>
              <w:t xml:space="preserve">Indeks (%)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6</w:t>
            </w:r>
          </w:p>
        </w:tc>
        <w:tc>
          <w:tcPr>
            <w:tcW w:w="904" w:type="pct"/>
            <w:vAlign w:val="center"/>
          </w:tcPr>
          <w:p>
            <w:r>
              <w:t xml:space="preserve">PRIHODI POSLOVANJA (šifre 61+62+63+64+65+66+67+68)</w:t>
            </w:r>
          </w:p>
        </w:tc>
        <w:tc>
          <w:tcPr>
            <w:tcW w:w="326" w:type="pct"/>
            <w:vAlign w:val="center"/>
          </w:tcPr>
          <w:p>
            <w:r>
              <w:t xml:space="preserve">6</w:t>
            </w:r>
          </w:p>
        </w:tc>
        <w:tc>
          <w:tcPr>
            <w:tcW w:w="937" w:type="pct"/>
            <w:vAlign w:val="center"/>
          </w:tcPr>
          <w:p>
            <w:r>
              <w:t xml:space="preserve">782.819,71</w:t>
            </w:r>
          </w:p>
        </w:tc>
        <w:tc>
          <w:tcPr>
            <w:tcW w:w="956" w:type="pct"/>
            <w:vAlign w:val="center"/>
          </w:tcPr>
          <w:p>
            <w:r>
              <w:t xml:space="preserve">810.495,73</w:t>
            </w:r>
          </w:p>
        </w:tc>
        <w:tc>
          <w:tcPr>
            <w:tcW w:w="1156" w:type="pct"/>
            <w:vAlign w:val="center"/>
          </w:tcPr>
          <w:p>
            <w:r>
              <w:t xml:space="preserve">103,5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3</w:t>
            </w:r>
          </w:p>
        </w:tc>
        <w:tc>
          <w:tcPr>
            <w:tcW w:w="904" w:type="pct"/>
            <w:vAlign w:val="center"/>
          </w:tcPr>
          <w:p>
            <w:r>
              <w:t xml:space="preserve">RASHODI POSLOVANJA (šifre 31+32+33+34+35+36+37+38)</w:t>
            </w:r>
          </w:p>
        </w:tc>
        <w:tc>
          <w:tcPr>
            <w:tcW w:w="326" w:type="pct"/>
            <w:vAlign w:val="center"/>
          </w:tcPr>
          <w:p>
            <w:r>
              <w:t xml:space="preserve">3</w:t>
            </w:r>
          </w:p>
        </w:tc>
        <w:tc>
          <w:tcPr>
            <w:tcW w:w="937" w:type="pct"/>
            <w:vAlign w:val="center"/>
          </w:tcPr>
          <w:p>
            <w:r>
              <w:t xml:space="preserve">913.159,23</w:t>
            </w:r>
          </w:p>
        </w:tc>
        <w:tc>
          <w:tcPr>
            <w:tcW w:w="956" w:type="pct"/>
            <w:vAlign w:val="center"/>
          </w:tcPr>
          <w:p>
            <w:r>
              <w:t xml:space="preserve">791.640,26</w:t>
            </w:r>
          </w:p>
        </w:tc>
        <w:tc>
          <w:tcPr>
            <w:tcW w:w="1156" w:type="pct"/>
            <w:vAlign w:val="center"/>
          </w:tcPr>
          <w:p>
            <w:r>
              <w:t xml:space="preserve">86,7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 </w:t>
            </w:r>
          </w:p>
        </w:tc>
        <w:tc>
          <w:tcPr>
            <w:tcW w:w="904" w:type="pct"/>
            <w:vAlign w:val="center"/>
          </w:tcPr>
          <w:p>
            <w:r>
              <w:rPr>
                <w:b/>
              </w:rPr>
              <w:t xml:space="preserve">VIŠAK PRIHODA POSLOVANJA (šifre 6-Z005)</w:t>
            </w:r>
          </w:p>
        </w:tc>
        <w:tc>
          <w:tcPr>
            <w:tcW w:w="326" w:type="pct"/>
            <w:vAlign w:val="center"/>
          </w:tcPr>
          <w:p>
            <w:r>
              <w:rPr>
                <w:b/>
              </w:rPr>
              <w:t xml:space="preserve">X001</w:t>
            </w:r>
          </w:p>
        </w:tc>
        <w:tc>
          <w:tcPr>
            <w:tcW w:w="937" w:type="pct"/>
            <w:vAlign w:val="center"/>
          </w:tcPr>
          <w:p>
            <w:r>
              <w:rPr>
                <w:b/>
              </w:rPr>
              <w:t xml:space="preserve">0,00</w:t>
            </w:r>
          </w:p>
        </w:tc>
        <w:tc>
          <w:tcPr>
            <w:tcW w:w="956" w:type="pct"/>
            <w:vAlign w:val="center"/>
          </w:tcPr>
          <w:p>
            <w:r>
              <w:rPr>
                <w:b/>
              </w:rPr>
              <w:t xml:space="preserve">18.855,47</w:t>
            </w:r>
          </w:p>
        </w:tc>
        <w:tc>
          <w:tcPr>
            <w:tcW w:w="1156" w:type="pct"/>
            <w:vAlign w:val="center"/>
          </w:tcPr>
          <w:p>
            <w:r>
              <w:rPr>
                <w:b/>
              </w:rPr>
              <w:t xml:space="preserve">-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7</w:t>
            </w:r>
          </w:p>
        </w:tc>
        <w:tc>
          <w:tcPr>
            <w:tcW w:w="904" w:type="pct"/>
            <w:vAlign w:val="center"/>
          </w:tcPr>
          <w:p>
            <w:r>
              <w:t xml:space="preserve">Prihodi od prodaje nefinancijske imovine (šifre 71+72+73+74)</w:t>
            </w:r>
          </w:p>
        </w:tc>
        <w:tc>
          <w:tcPr>
            <w:tcW w:w="326" w:type="pct"/>
            <w:vAlign w:val="center"/>
          </w:tcPr>
          <w:p>
            <w:r>
              <w:t xml:space="preserve">7</w:t>
            </w:r>
          </w:p>
        </w:tc>
        <w:tc>
          <w:tcPr>
            <w:tcW w:w="937" w:type="pct"/>
            <w:vAlign w:val="center"/>
          </w:tcPr>
          <w:p>
            <w:r>
              <w:t xml:space="preserve">86,76</w:t>
            </w:r>
          </w:p>
        </w:tc>
        <w:tc>
          <w:tcPr>
            <w:tcW w:w="956" w:type="pct"/>
            <w:vAlign w:val="center"/>
          </w:tcPr>
          <w:p>
            <w:r>
              <w:t xml:space="preserve">0,00</w:t>
            </w:r>
          </w:p>
        </w:tc>
        <w:tc>
          <w:tcPr>
            <w:tcW w:w="1156" w:type="pct"/>
            <w:vAlign w:val="center"/>
          </w:tcPr>
          <w:p>
            <w:r>
              <w:t xml:space="preserve">-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4</w:t>
            </w:r>
          </w:p>
        </w:tc>
        <w:tc>
          <w:tcPr>
            <w:tcW w:w="904" w:type="pct"/>
            <w:vAlign w:val="center"/>
          </w:tcPr>
          <w:p>
            <w:r>
              <w:t xml:space="preserve">Rashodi za nabavu nefinancijske imovine (šifre 41+42+43+44+45)</w:t>
            </w:r>
          </w:p>
        </w:tc>
        <w:tc>
          <w:tcPr>
            <w:tcW w:w="326" w:type="pct"/>
            <w:vAlign w:val="center"/>
          </w:tcPr>
          <w:p>
            <w:r>
              <w:t xml:space="preserve">4</w:t>
            </w:r>
          </w:p>
        </w:tc>
        <w:tc>
          <w:tcPr>
            <w:tcW w:w="937" w:type="pct"/>
            <w:vAlign w:val="center"/>
          </w:tcPr>
          <w:p>
            <w:r>
              <w:t xml:space="preserve">5.600,50</w:t>
            </w:r>
          </w:p>
        </w:tc>
        <w:tc>
          <w:tcPr>
            <w:tcW w:w="956" w:type="pct"/>
            <w:vAlign w:val="center"/>
          </w:tcPr>
          <w:p>
            <w:r>
              <w:t xml:space="preserve">1.213,00</w:t>
            </w:r>
          </w:p>
        </w:tc>
        <w:tc>
          <w:tcPr>
            <w:tcW w:w="1156" w:type="pct"/>
            <w:vAlign w:val="center"/>
          </w:tcPr>
          <w:p>
            <w:r>
              <w:t xml:space="preserve">21,7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 </w:t>
            </w:r>
          </w:p>
        </w:tc>
        <w:tc>
          <w:tcPr>
            <w:tcW w:w="904" w:type="pct"/>
            <w:vAlign w:val="center"/>
          </w:tcPr>
          <w:p>
            <w:r>
              <w:rPr>
                <w:b/>
              </w:rPr>
              <w:t xml:space="preserve">MANJAK PRIHODA OD NEFINACIJSKE IMOVINE (šifre 4-7)</w:t>
            </w:r>
          </w:p>
        </w:tc>
        <w:tc>
          <w:tcPr>
            <w:tcW w:w="326" w:type="pct"/>
            <w:vAlign w:val="center"/>
          </w:tcPr>
          <w:p>
            <w:r>
              <w:rPr>
                <w:b/>
              </w:rPr>
              <w:t xml:space="preserve">Y002</w:t>
            </w:r>
          </w:p>
        </w:tc>
        <w:tc>
          <w:tcPr>
            <w:tcW w:w="937" w:type="pct"/>
            <w:vAlign w:val="center"/>
          </w:tcPr>
          <w:p>
            <w:r>
              <w:rPr>
                <w:b/>
              </w:rPr>
              <w:t xml:space="preserve">5.513,74</w:t>
            </w:r>
          </w:p>
        </w:tc>
        <w:tc>
          <w:tcPr>
            <w:tcW w:w="956" w:type="pct"/>
            <w:vAlign w:val="center"/>
          </w:tcPr>
          <w:p>
            <w:r>
              <w:rPr>
                <w:b/>
              </w:rPr>
              <w:t xml:space="preserve">1.213,00</w:t>
            </w:r>
          </w:p>
        </w:tc>
        <w:tc>
          <w:tcPr>
            <w:tcW w:w="1156" w:type="pct"/>
            <w:vAlign w:val="center"/>
          </w:tcPr>
          <w:p>
            <w:r>
              <w:rPr>
                <w:b/>
              </w:rPr>
              <w:t xml:space="preserve">22,0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8</w:t>
            </w:r>
          </w:p>
        </w:tc>
        <w:tc>
          <w:tcPr>
            <w:tcW w:w="904" w:type="pct"/>
            <w:vAlign w:val="center"/>
          </w:tcPr>
          <w:p>
            <w:r>
              <w:t xml:space="preserve">Primici od financijske imovine i zaduživanja (šifre 81+82+83+84+85)</w:t>
            </w:r>
          </w:p>
        </w:tc>
        <w:tc>
          <w:tcPr>
            <w:tcW w:w="326" w:type="pct"/>
            <w:vAlign w:val="center"/>
          </w:tcPr>
          <w:p>
            <w:r>
              <w:t xml:space="preserve">8</w:t>
            </w:r>
          </w:p>
        </w:tc>
        <w:tc>
          <w:tcPr>
            <w:tcW w:w="937" w:type="pct"/>
            <w:vAlign w:val="center"/>
          </w:tcPr>
          <w:p>
            <w:r>
              <w:t xml:space="preserve">0,00</w:t>
            </w:r>
          </w:p>
        </w:tc>
        <w:tc>
          <w:tcPr>
            <w:tcW w:w="956" w:type="pct"/>
            <w:vAlign w:val="center"/>
          </w:tcPr>
          <w:p>
            <w:r>
              <w:t xml:space="preserve">0,00</w:t>
            </w:r>
          </w:p>
        </w:tc>
        <w:tc>
          <w:tcPr>
            <w:tcW w:w="1156" w:type="pct"/>
            <w:vAlign w:val="center"/>
          </w:tcPr>
          <w:p>
            <w:r>
              <w:t xml:space="preserve">-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5</w:t>
            </w:r>
          </w:p>
        </w:tc>
        <w:tc>
          <w:tcPr>
            <w:tcW w:w="904" w:type="pct"/>
            <w:vAlign w:val="center"/>
          </w:tcPr>
          <w:p>
            <w:r>
              <w:t xml:space="preserve">Izdatci za financijsku imovinu i otplate zajmova (šifre 51+52+53+54+55)</w:t>
            </w:r>
          </w:p>
        </w:tc>
        <w:tc>
          <w:tcPr>
            <w:tcW w:w="326" w:type="pct"/>
            <w:vAlign w:val="center"/>
          </w:tcPr>
          <w:p>
            <w:r>
              <w:t xml:space="preserve">5</w:t>
            </w:r>
          </w:p>
        </w:tc>
        <w:tc>
          <w:tcPr>
            <w:tcW w:w="937" w:type="pct"/>
            <w:vAlign w:val="center"/>
          </w:tcPr>
          <w:p>
            <w:r>
              <w:t xml:space="preserve">0,00</w:t>
            </w:r>
          </w:p>
        </w:tc>
        <w:tc>
          <w:tcPr>
            <w:tcW w:w="956" w:type="pct"/>
            <w:vAlign w:val="center"/>
          </w:tcPr>
          <w:p>
            <w:r>
              <w:t xml:space="preserve">0,00</w:t>
            </w:r>
          </w:p>
        </w:tc>
        <w:tc>
          <w:tcPr>
            <w:tcW w:w="1156" w:type="pct"/>
            <w:vAlign w:val="center"/>
          </w:tcPr>
          <w:p>
            <w:r>
              <w:t xml:space="preserve">-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 </w:t>
            </w:r>
          </w:p>
        </w:tc>
        <w:tc>
          <w:tcPr>
            <w:tcW w:w="904" w:type="pct"/>
            <w:vAlign w:val="center"/>
          </w:tcPr>
          <w:p>
            <w:r>
              <w:rPr>
                <w:b/>
              </w:rPr>
              <w:t xml:space="preserve">VIŠAK/MANJAK PRIMITAKA OD FINANCIJSKE IMOVINE I ZADUŽIVANJA (šifre 8-5, 5-8)</w:t>
            </w:r>
          </w:p>
        </w:tc>
        <w:tc>
          <w:tcPr>
            <w:tcW w:w="326" w:type="pct"/>
            <w:vAlign w:val="center"/>
          </w:tcPr>
          <w:p>
            <w:r>
              <w:rPr>
                <w:b/>
              </w:rPr>
              <w:t xml:space="preserve">X003</w:t>
            </w:r>
          </w:p>
          <w:p>
            <w:r>
              <w:rPr>
                <w:b/>
              </w:rPr>
              <w:t xml:space="preserve">Y003</w:t>
            </w:r>
          </w:p>
        </w:tc>
        <w:tc>
          <w:tcPr>
            <w:tcW w:w="937" w:type="pct"/>
            <w:vAlign w:val="center"/>
          </w:tcPr>
          <w:p>
            <w:r>
              <w:rPr>
                <w:b/>
              </w:rPr>
              <w:t xml:space="preserve">0,00</w:t>
            </w:r>
          </w:p>
        </w:tc>
        <w:tc>
          <w:tcPr>
            <w:tcW w:w="956" w:type="pct"/>
            <w:vAlign w:val="center"/>
          </w:tcPr>
          <w:p>
            <w:r>
              <w:rPr>
                <w:b/>
              </w:rPr>
              <w:t xml:space="preserve">0,00</w:t>
            </w:r>
          </w:p>
        </w:tc>
        <w:tc>
          <w:tcPr>
            <w:tcW w:w="1156" w:type="pct"/>
            <w:vAlign w:val="center"/>
          </w:tcPr>
          <w:p>
            <w:r>
              <w:rPr>
                <w:b/>
              </w:rPr>
              <w:t xml:space="preserve">-</w:t>
            </w:r>
          </w:p>
        </w:tc>
      </w:tr>
      <w:tr>
        <w:trPr>
          <w:trHeight w:val="540" w:hRule="atLeast"/>
        </w:trPr>
        <w:tc>
          <w:tcPr>
            <w:tcW w:w="719" w:type="pct"/>
            <w:vAlign w:val="center"/>
          </w:tcPr>
          <w:p>
            <w:r>
              <w:t xml:space="preserve"> </w:t>
            </w:r>
          </w:p>
        </w:tc>
        <w:tc>
          <w:tcPr>
            <w:tcW w:w="904" w:type="pct"/>
            <w:vAlign w:val="center"/>
          </w:tcPr>
          <w:p>
            <w:r>
              <w:rPr>
                <w:b/>
              </w:rPr>
              <w:t xml:space="preserve">VIŠAK PRIHODA I PRIMITAKA (šifre X678-Y345)</w:t>
            </w:r>
          </w:p>
        </w:tc>
        <w:tc>
          <w:tcPr>
            <w:tcW w:w="326" w:type="pct"/>
            <w:vAlign w:val="center"/>
          </w:tcPr>
          <w:p>
            <w:r>
              <w:rPr>
                <w:b/>
              </w:rPr>
              <w:t xml:space="preserve">X005</w:t>
            </w:r>
          </w:p>
        </w:tc>
        <w:tc>
          <w:tcPr>
            <w:tcW w:w="937" w:type="pct"/>
            <w:vAlign w:val="center"/>
          </w:tcPr>
          <w:p>
            <w:r>
              <w:rPr>
                <w:b/>
              </w:rPr>
              <w:t xml:space="preserve">0,00</w:t>
            </w:r>
          </w:p>
        </w:tc>
        <w:tc>
          <w:tcPr>
            <w:tcW w:w="956" w:type="pct"/>
            <w:vAlign w:val="center"/>
          </w:tcPr>
          <w:p>
            <w:r>
              <w:rPr>
                <w:b/>
              </w:rPr>
              <w:t xml:space="preserve">17.642,47</w:t>
            </w:r>
          </w:p>
        </w:tc>
        <w:tc>
          <w:tcPr>
            <w:tcW w:w="1156" w:type="pct"/>
            <w:vAlign w:val="center"/>
          </w:tcPr>
          <w:p>
            <w:r>
              <w:rPr>
                <w:b/>
              </w:rPr>
              <w:t xml:space="preserve">-</w:t>
            </w:r>
          </w:p>
        </w:tc>
      </w:tr>
    </w:tbl>
    <w:p>
      <w:pPr>
        <w:jc w:val="left"/>
      </w:pPr>
      <w:r>
        <w:t xml:space="preserve">U tekućem razdoblju ostvaren je višak prihoda u iznosu od 17.642,47 EUR. Preneseni manjak iz prethodne godine iznosi 143.996.69 EUR iz čega proizlazi da manjak prihoda koji treba pokriti u tekućoj godini iznosi 126.354,22 EUR. Do povećanja prihoda u tekućoj godini je došlo zbog povećanog broja učenika koji polaze produženi boravak.</w:t>
      </w:r>
    </w:p>
    <w:p>
      <w:pPr>
        <w:jc w:val="left"/>
      </w:pPr>
      <w:r>
        <w:t xml:space="preserve"> </w:t>
      </w:r>
    </w:p>
    <w:p>
      <w:pPr>
        <w:jc w:val="center"/>
      </w:pPr>
      <w:r>
        <w:t xml:space="preserve">Bilješka 2.</w:t>
      </w:r>
    </w:p>
    <w:tbl>
      <w:tblPr>
        <w:tblStyle w:val="TableGrid"/>
        <w:tblW w:w="5000" w:type="pct"/>
      </w:tblPr>
      <w:tblGrid>
        <w:gridCol w:w="1613"/>
        <w:gridCol w:w="1786"/>
        <w:gridCol w:w="1741"/>
        <w:gridCol w:w="2014"/>
        <w:gridCol w:w="1636"/>
        <w:gridCol w:w="836"/>
      </w:tblGrid>
      <w:tr>
        <w:trPr/>
        <w:tc>
          <w:tcPr>
            <w:tcW w:w="837" w:type="pct"/>
            <w:vAlign w:val="center"/>
          </w:tcPr>
          <w:p>
            <w:r>
              <w:t xml:space="preserve">Račun iz račun. plana</w:t>
            </w:r>
          </w:p>
        </w:tc>
        <w:tc>
          <w:tcPr>
            <w:tcW w:w="927" w:type="pct"/>
            <w:vAlign w:val="center"/>
          </w:tcPr>
          <w:p>
            <w:r>
              <w:t xml:space="preserve">Opis stavke </w:t>
            </w:r>
          </w:p>
        </w:tc>
        <w:tc>
          <w:tcPr>
            <w:tcW w:w="904" w:type="pct"/>
            <w:vAlign w:val="center"/>
          </w:tcPr>
          <w:p>
            <w:r>
              <w:t xml:space="preserve">Šifra </w:t>
            </w:r>
          </w:p>
        </w:tc>
        <w:tc>
          <w:tcPr>
            <w:tcW w:w="1046" w:type="pct"/>
            <w:vAlign w:val="center"/>
          </w:tcPr>
          <w:p>
            <w:r>
              <w:t xml:space="preserve">Ostvareno u izvještajnom razdoblju prethodne godine</w:t>
            </w:r>
          </w:p>
        </w:tc>
        <w:tc>
          <w:tcPr>
            <w:tcW w:w="849" w:type="pct"/>
            <w:vAlign w:val="center"/>
          </w:tcPr>
          <w:p>
            <w:r>
              <w:t xml:space="preserve">Ostvareno u izvještajnom razdoblju tekuće godine</w:t>
            </w:r>
          </w:p>
        </w:tc>
        <w:tc>
          <w:tcPr>
            <w:tcW w:w="434" w:type="pct"/>
            <w:vAlign w:val="center"/>
          </w:tcPr>
          <w:p>
            <w:r>
              <w:t xml:space="preserve">Indeks (%)</w:t>
            </w:r>
          </w:p>
        </w:tc>
      </w:tr>
      <w:tr>
        <w:trPr/>
        <w:tc>
          <w:tcPr>
            <w:tcW w:w="837" w:type="pct"/>
            <w:vAlign w:val="center"/>
          </w:tcPr>
          <w:p>
            <w:r>
              <w:t xml:space="preserve">636</w:t>
            </w:r>
          </w:p>
        </w:tc>
        <w:tc>
          <w:tcPr>
            <w:tcW w:w="927" w:type="pct"/>
            <w:vAlign w:val="center"/>
          </w:tcPr>
          <w:p>
            <w:r>
              <w:t xml:space="preserve">Pomoći proračunskim korisnicima iz proračuna koji im nije nadležan (šifre 6361+6362)</w:t>
            </w:r>
          </w:p>
        </w:tc>
        <w:tc>
          <w:tcPr>
            <w:tcW w:w="904" w:type="pct"/>
            <w:vAlign w:val="center"/>
          </w:tcPr>
          <w:p>
            <w:r>
              <w:t xml:space="preserve">636</w:t>
            </w:r>
          </w:p>
        </w:tc>
        <w:tc>
          <w:tcPr>
            <w:tcW w:w="1046" w:type="pct"/>
            <w:vAlign w:val="center"/>
          </w:tcPr>
          <w:p>
            <w:r>
              <w:t xml:space="preserve">582.354,87</w:t>
            </w:r>
          </w:p>
        </w:tc>
        <w:tc>
          <w:tcPr>
            <w:tcW w:w="849" w:type="pct"/>
            <w:vAlign w:val="center"/>
          </w:tcPr>
          <w:p>
            <w:r>
              <w:t xml:space="preserve">604.906,74</w:t>
            </w:r>
          </w:p>
        </w:tc>
        <w:tc>
          <w:tcPr>
            <w:tcW w:w="434" w:type="pct"/>
            <w:vAlign w:val="center"/>
          </w:tcPr>
          <w:p>
            <w:r>
              <w:t xml:space="preserve">103,9</w:t>
            </w:r>
          </w:p>
        </w:tc>
      </w:tr>
    </w:tbl>
    <w:p>
      <w:pPr>
        <w:jc w:val="left"/>
      </w:pPr>
      <w:r>
        <w:t xml:space="preserve">Prihodi od nenadležnih proračuna za financiranje rashoda poslovanja sastoje se od: prihoda iz državnog proračuna u iznosu od 30.606,07 EUR za financiranje Besplatnog toplog obroka, ŽSV razredne nastave, zatim prihoda iz državnog proračuna u iznosu od 572.624,35 EUR za financiranje rashoda za plaće, prijevoza na posao i s posla te materijalnih prava zaposlenih kao i plaćanje naknade za nezapošljavanje osoba s invaliditetom, prihoda iz proračuna Varaždinske županije u iznosu od 850,32 EUR za financiranje rashoda za natjecanje iz informatike koje se svake godine održava u našoj školi.</w:t>
      </w:r>
    </w:p>
    <w:p>
      <w:pPr>
        <w:jc w:val="center"/>
      </w:pPr>
      <w:r>
        <w:br/>
      </w:r>
      <w:r>
        <w:t xml:space="preserve">Bilješka 3.</w:t>
      </w:r>
    </w:p>
    <w:tbl>
      <w:tblPr>
        <w:tblStyle w:val="TableGrid"/>
        <w:tblW w:w="5000" w:type="pct"/>
      </w:tblPr>
      <w:tblGrid>
        <w:gridCol w:w="2114"/>
        <w:gridCol w:w="2078"/>
        <w:gridCol w:w="1431"/>
        <w:gridCol w:w="1914"/>
        <w:gridCol w:w="1139"/>
        <w:gridCol w:w="950"/>
      </w:tblGrid>
      <w:tr>
        <w:trPr/>
        <w:tc>
          <w:tcPr>
            <w:tcW w:w="1098" w:type="pct"/>
            <w:vAlign w:val="center"/>
          </w:tcPr>
          <w:p>
            <w:r>
              <w:t xml:space="preserve">Račun iz račun. plana</w:t>
            </w:r>
          </w:p>
        </w:tc>
        <w:tc>
          <w:tcPr>
            <w:tcW w:w="1079" w:type="pct"/>
            <w:vAlign w:val="center"/>
          </w:tcPr>
          <w:p>
            <w:r>
              <w:t xml:space="preserve">Opis stavke </w:t>
            </w:r>
          </w:p>
        </w:tc>
        <w:tc>
          <w:tcPr>
            <w:tcW w:w="743" w:type="pct"/>
            <w:vAlign w:val="center"/>
          </w:tcPr>
          <w:p>
            <w:r>
              <w:t xml:space="preserve">Šifra</w:t>
            </w:r>
          </w:p>
        </w:tc>
        <w:tc>
          <w:tcPr>
            <w:tcW w:w="994" w:type="pct"/>
            <w:vAlign w:val="center"/>
          </w:tcPr>
          <w:p>
            <w:r>
              <w:t xml:space="preserve">Ostvareno u izvještajnom razdoblju prethodne godine</w:t>
            </w:r>
          </w:p>
        </w:tc>
        <w:tc>
          <w:tcPr>
            <w:tcW w:w="591" w:type="pct"/>
            <w:vAlign w:val="center"/>
          </w:tcPr>
          <w:p>
            <w:r>
              <w:t xml:space="preserve">Ostvareno u izvještajnom razdoblju tekuće godine</w:t>
            </w:r>
          </w:p>
        </w:tc>
        <w:tc>
          <w:tcPr>
            <w:tcW w:w="493" w:type="pct"/>
            <w:vAlign w:val="center"/>
          </w:tcPr>
          <w:p>
            <w:r>
              <w:t xml:space="preserve">Indeks (%)</w:t>
            </w:r>
          </w:p>
        </w:tc>
      </w:tr>
      <w:tr>
        <w:trPr/>
        <w:tc>
          <w:tcPr>
            <w:tcW w:w="1098" w:type="pct"/>
            <w:vAlign w:val="center"/>
          </w:tcPr>
          <w:p>
            <w:r>
              <w:t xml:space="preserve">652</w:t>
            </w:r>
          </w:p>
        </w:tc>
        <w:tc>
          <w:tcPr>
            <w:tcW w:w="1079" w:type="pct"/>
            <w:vAlign w:val="center"/>
          </w:tcPr>
          <w:p>
            <w:r>
              <w:t xml:space="preserve">Prihodi po posebnim propisima (šifre 6521 do 6528)</w:t>
            </w:r>
          </w:p>
        </w:tc>
        <w:tc>
          <w:tcPr>
            <w:tcW w:w="743" w:type="pct"/>
            <w:vAlign w:val="center"/>
          </w:tcPr>
          <w:p>
            <w:r>
              <w:t xml:space="preserve">652</w:t>
            </w:r>
          </w:p>
        </w:tc>
        <w:tc>
          <w:tcPr>
            <w:tcW w:w="994" w:type="pct"/>
            <w:vAlign w:val="center"/>
          </w:tcPr>
          <w:p>
            <w:r>
              <w:t xml:space="preserve">27.683,88</w:t>
            </w:r>
          </w:p>
        </w:tc>
        <w:tc>
          <w:tcPr>
            <w:tcW w:w="591" w:type="pct"/>
            <w:vAlign w:val="center"/>
          </w:tcPr>
          <w:p>
            <w:r>
              <w:t xml:space="preserve">33.060,00</w:t>
            </w:r>
          </w:p>
        </w:tc>
        <w:tc>
          <w:tcPr>
            <w:tcW w:w="493" w:type="pct"/>
            <w:vAlign w:val="center"/>
          </w:tcPr>
          <w:p>
            <w:r>
              <w:t xml:space="preserve">119,4</w:t>
            </w:r>
          </w:p>
        </w:tc>
      </w:tr>
    </w:tbl>
    <w:p>
      <w:r>
        <w:t xml:space="preserve">U prihode po posebnim propisima ulaze uglavnom prihodi od produženog boravka. Povećao se broj djece koja polaze produženi boravak pa su se samim time povećali i prihodi za 19,4%.</w:t>
      </w:r>
    </w:p>
    <w:p>
      <w:r>
        <w:t xml:space="preserve"> </w:t>
      </w:r>
    </w:p>
    <w:p>
      <w:pPr>
        <w:jc w:val="center"/>
      </w:pPr>
      <w:r>
        <w:t xml:space="preserve">Bilješka 4.</w:t>
      </w:r>
    </w:p>
    <w:tbl>
      <w:tblPr>
        <w:tblStyle w:val="TableGrid"/>
        <w:tblW w:w="5000" w:type="pct"/>
      </w:tblPr>
      <w:tblGrid>
        <w:gridCol w:w="1148"/>
        <w:gridCol w:w="2570"/>
        <w:gridCol w:w="1723"/>
        <w:gridCol w:w="1740"/>
        <w:gridCol w:w="1230"/>
        <w:gridCol w:w="1214"/>
      </w:tblGrid>
      <w:tr>
        <w:trPr/>
        <w:tc>
          <w:tcPr>
            <w:tcW w:w="596" w:type="pct"/>
            <w:vAlign w:val="center"/>
          </w:tcPr>
          <w:p>
            <w:r>
              <w:t xml:space="preserve">Račun iz račun. plana</w:t>
            </w:r>
          </w:p>
        </w:tc>
        <w:tc>
          <w:tcPr>
            <w:tcW w:w="1335" w:type="pct"/>
            <w:vAlign w:val="center"/>
          </w:tcPr>
          <w:p>
            <w:r>
              <w:t xml:space="preserve">Opis stavke</w:t>
            </w:r>
          </w:p>
        </w:tc>
        <w:tc>
          <w:tcPr>
            <w:tcW w:w="894" w:type="pct"/>
            <w:vAlign w:val="center"/>
          </w:tcPr>
          <w:p>
            <w:r>
              <w:t xml:space="preserve">Šifra</w:t>
            </w:r>
          </w:p>
        </w:tc>
        <w:tc>
          <w:tcPr>
            <w:tcW w:w="904" w:type="pct"/>
            <w:vAlign w:val="center"/>
          </w:tcPr>
          <w:p>
            <w:r>
              <w:t xml:space="preserve">Ostvareno u izvještajnom razdoblju prethodne godine</w:t>
            </w:r>
          </w:p>
        </w:tc>
        <w:tc>
          <w:tcPr>
            <w:tcW w:w="639" w:type="pct"/>
            <w:vAlign w:val="center"/>
          </w:tcPr>
          <w:p>
            <w:r>
              <w:t xml:space="preserve">Ostvareno u izvještajnom razdoblju tekuće godine</w:t>
            </w:r>
          </w:p>
        </w:tc>
        <w:tc>
          <w:tcPr>
            <w:tcW w:w="630" w:type="pct"/>
            <w:vAlign w:val="center"/>
          </w:tcPr>
          <w:p>
            <w:r>
              <w:t xml:space="preserve">Indeks (%)</w:t>
            </w:r>
          </w:p>
        </w:tc>
      </w:tr>
      <w:tr>
        <w:trPr/>
        <w:tc>
          <w:tcPr>
            <w:tcW w:w="596" w:type="pct"/>
            <w:vAlign w:val="center"/>
          </w:tcPr>
          <w:p>
            <w:r>
              <w:t xml:space="preserve">31</w:t>
            </w:r>
          </w:p>
        </w:tc>
        <w:tc>
          <w:tcPr>
            <w:tcW w:w="1335" w:type="pct"/>
            <w:vAlign w:val="center"/>
          </w:tcPr>
          <w:p>
            <w:r>
              <w:t xml:space="preserve">Rashodi za zaposlene (šifre 311+312+313)</w:t>
            </w:r>
          </w:p>
        </w:tc>
        <w:tc>
          <w:tcPr>
            <w:tcW w:w="894" w:type="pct"/>
            <w:vAlign w:val="center"/>
          </w:tcPr>
          <w:p>
            <w:r>
              <w:t xml:space="preserve">31</w:t>
            </w:r>
          </w:p>
        </w:tc>
        <w:tc>
          <w:tcPr>
            <w:tcW w:w="904" w:type="pct"/>
            <w:vAlign w:val="center"/>
          </w:tcPr>
          <w:p>
            <w:r>
              <w:t xml:space="preserve">797.160,34</w:t>
            </w:r>
          </w:p>
        </w:tc>
        <w:tc>
          <w:tcPr>
            <w:tcW w:w="639" w:type="pct"/>
            <w:vAlign w:val="center"/>
          </w:tcPr>
          <w:p>
            <w:r>
              <w:t xml:space="preserve">679.158,74</w:t>
            </w:r>
          </w:p>
        </w:tc>
        <w:tc>
          <w:tcPr>
            <w:tcW w:w="630" w:type="pct"/>
            <w:vAlign w:val="center"/>
          </w:tcPr>
          <w:p>
            <w:r>
              <w:t xml:space="preserve">85,2</w:t>
            </w:r>
          </w:p>
        </w:tc>
      </w:tr>
    </w:tbl>
    <w:p>
      <w:pPr>
        <w:jc w:val="left"/>
      </w:pPr>
      <w:r>
        <w:t xml:space="preserve">U rashode za zaposlene ulaze bruto plaće, plaće za prekovremeni rad, plaće za posebne uvjete rada, naknade za prijevoz s na posao i s posla, doprinosi za zdravstveno osiguranje te naknade za materijalna prava. Rashodi za zaposlene su se smanjili 14,8% u odnosu na prethodno razdoblje iz razloga što je veliki broj zaposlenika na bolovanjima na teret HZZO.</w:t>
      </w:r>
    </w:p>
    <w:p>
      <w:pPr>
        <w:jc w:val="left"/>
      </w:pPr>
      <w:r>
        <w:t xml:space="preserve"> </w:t>
      </w:r>
    </w:p>
    <w:p>
      <w:pPr>
        <w:jc w:val="center"/>
      </w:pPr>
      <w:r>
        <w:t xml:space="preserve">Bilješka 5.</w:t>
      </w:r>
    </w:p>
    <w:tbl>
      <w:tblPr>
        <w:tblStyle w:val="TableGrid"/>
        <w:tblW w:w="5000" w:type="pct"/>
      </w:tblPr>
      <w:tblGrid>
        <w:gridCol w:w="1313"/>
        <w:gridCol w:w="2493"/>
        <w:gridCol w:w="1576"/>
        <w:gridCol w:w="2160"/>
        <w:gridCol w:w="1087"/>
        <w:gridCol w:w="996"/>
      </w:tblGrid>
      <w:tr>
        <w:trPr/>
        <w:tc>
          <w:tcPr>
            <w:tcW w:w="681" w:type="pct"/>
            <w:vAlign w:val="center"/>
          </w:tcPr>
          <w:p>
            <w:r>
              <w:t xml:space="preserve">Račun iz račun. plana</w:t>
            </w:r>
          </w:p>
        </w:tc>
        <w:tc>
          <w:tcPr>
            <w:tcW w:w="1295" w:type="pct"/>
            <w:vAlign w:val="center"/>
          </w:tcPr>
          <w:p>
            <w:r>
              <w:t xml:space="preserve">Opis stavke</w:t>
            </w:r>
          </w:p>
        </w:tc>
        <w:tc>
          <w:tcPr>
            <w:tcW w:w="818" w:type="pct"/>
            <w:vAlign w:val="center"/>
          </w:tcPr>
          <w:p>
            <w:r>
              <w:t xml:space="preserve">Šifra</w:t>
            </w:r>
          </w:p>
        </w:tc>
        <w:tc>
          <w:tcPr>
            <w:tcW w:w="1122" w:type="pct"/>
            <w:vAlign w:val="center"/>
          </w:tcPr>
          <w:p>
            <w:r>
              <w:t xml:space="preserve">Ostvareno u izvještajnom razdoblju prethodne godine</w:t>
            </w:r>
          </w:p>
        </w:tc>
        <w:tc>
          <w:tcPr>
            <w:tcW w:w="564" w:type="pct"/>
            <w:vAlign w:val="center"/>
          </w:tcPr>
          <w:p>
            <w:r>
              <w:t xml:space="preserve">Ostvareno u izvještajnom razdoblju tekuće godine</w:t>
            </w:r>
          </w:p>
        </w:tc>
        <w:tc>
          <w:tcPr>
            <w:tcW w:w="517" w:type="pct"/>
            <w:vAlign w:val="center"/>
          </w:tcPr>
          <w:p>
            <w:r>
              <w:t xml:space="preserve">Indeks (%)</w:t>
            </w:r>
          </w:p>
        </w:tc>
      </w:tr>
      <w:tr>
        <w:trPr/>
        <w:tc>
          <w:tcPr>
            <w:tcW w:w="681" w:type="pct"/>
            <w:vAlign w:val="center"/>
          </w:tcPr>
          <w:p>
            <w:r>
              <w:t xml:space="preserve">32</w:t>
            </w:r>
          </w:p>
        </w:tc>
        <w:tc>
          <w:tcPr>
            <w:tcW w:w="1295" w:type="pct"/>
            <w:vAlign w:val="center"/>
          </w:tcPr>
          <w:p>
            <w:r>
              <w:t xml:space="preserve">Materijalni rashodi (šifre 321+322+323+324+325+329)</w:t>
            </w:r>
          </w:p>
        </w:tc>
        <w:tc>
          <w:tcPr>
            <w:tcW w:w="818" w:type="pct"/>
            <w:vAlign w:val="center"/>
          </w:tcPr>
          <w:p>
            <w:r>
              <w:t xml:space="preserve">32</w:t>
            </w:r>
          </w:p>
        </w:tc>
        <w:tc>
          <w:tcPr>
            <w:tcW w:w="1122" w:type="pct"/>
            <w:vAlign w:val="center"/>
          </w:tcPr>
          <w:p>
            <w:r>
              <w:t xml:space="preserve">115.665,33</w:t>
            </w:r>
          </w:p>
        </w:tc>
        <w:tc>
          <w:tcPr>
            <w:tcW w:w="564" w:type="pct"/>
            <w:vAlign w:val="center"/>
          </w:tcPr>
          <w:p>
            <w:r>
              <w:t xml:space="preserve">112.133,45</w:t>
            </w:r>
          </w:p>
        </w:tc>
        <w:tc>
          <w:tcPr>
            <w:tcW w:w="517" w:type="pct"/>
            <w:vAlign w:val="center"/>
          </w:tcPr>
          <w:p>
            <w:r>
              <w:t xml:space="preserve">96,9</w:t>
            </w:r>
          </w:p>
        </w:tc>
      </w:tr>
    </w:tbl>
    <w:p>
      <w:pPr>
        <w:jc w:val="left"/>
      </w:pPr>
      <w:r>
        <w:t xml:space="preserve">Materijalni rashodi smanjeni su za 3,1% u odnosu na prethodno razdoblje najvećim dijelom zbog smanjenja naknada za prijevoz, manji su i rashodi za usluge tekučeg i investicijskog održavanja jer se oni planiraju kasnije tijekom godine. Dok su rashodi za energiju, uredski materijal, službena putovanja i ostali nespomenuti rashodi poslovanja ostali slični rashodima u prethodnom razdoblju ili su minimalno narasli.</w:t>
      </w:r>
    </w:p>
    <w:p>
      <w:pPr>
        <w:jc w:val="left"/>
      </w:pPr>
      <w:r>
        <w:t xml:space="preserve"> </w:t>
      </w:r>
    </w:p>
    <w:p>
      <w:pPr>
        <w:jc w:val="center"/>
      </w:pPr>
      <w:r>
        <w:t xml:space="preserve">Bilješka 6.</w:t>
      </w:r>
    </w:p>
    <w:tbl>
      <w:tblPr>
        <w:tblStyle w:val="TableGrid"/>
        <w:tblW w:w="5000" w:type="pct"/>
      </w:tblPr>
      <w:tblGrid>
        <w:gridCol w:w="1577"/>
        <w:gridCol w:w="3198"/>
        <w:gridCol w:w="1686"/>
        <w:gridCol w:w="1239"/>
        <w:gridCol w:w="1185"/>
        <w:gridCol w:w="740"/>
      </w:tblGrid>
      <w:tr>
        <w:trPr/>
        <w:tc>
          <w:tcPr>
            <w:tcW w:w="819" w:type="pct"/>
            <w:vAlign w:val="center"/>
          </w:tcPr>
          <w:p>
            <w:r>
              <w:t xml:space="preserve">Račun iz račun. plana</w:t>
            </w:r>
          </w:p>
        </w:tc>
        <w:tc>
          <w:tcPr>
            <w:tcW w:w="1661" w:type="pct"/>
            <w:vAlign w:val="center"/>
          </w:tcPr>
          <w:p>
            <w:r>
              <w:t xml:space="preserve">Opis stavke</w:t>
            </w:r>
          </w:p>
        </w:tc>
        <w:tc>
          <w:tcPr>
            <w:tcW w:w="875" w:type="pct"/>
            <w:vAlign w:val="center"/>
          </w:tcPr>
          <w:p>
            <w:r>
              <w:t xml:space="preserve">Šifra</w:t>
            </w:r>
          </w:p>
        </w:tc>
        <w:tc>
          <w:tcPr>
            <w:tcW w:w="643" w:type="pct"/>
            <w:vAlign w:val="center"/>
          </w:tcPr>
          <w:p>
            <w:r>
              <w:t xml:space="preserve">Ostvareno u izvještajnom razdoblju prethodne godine</w:t>
            </w:r>
          </w:p>
        </w:tc>
        <w:tc>
          <w:tcPr>
            <w:tcW w:w="615" w:type="pct"/>
            <w:vAlign w:val="center"/>
          </w:tcPr>
          <w:p>
            <w:r>
              <w:t xml:space="preserve">Ostvareno u izvještajnom razdoblju tekuće godine</w:t>
            </w:r>
          </w:p>
        </w:tc>
        <w:tc>
          <w:tcPr>
            <w:tcW w:w="384" w:type="pct"/>
            <w:vAlign w:val="center"/>
          </w:tcPr>
          <w:p>
            <w:r>
              <w:t xml:space="preserve">Indeks (%)</w:t>
            </w:r>
          </w:p>
        </w:tc>
      </w:tr>
      <w:tr>
        <w:trPr/>
        <w:tc>
          <w:tcPr>
            <w:tcW w:w="819" w:type="pct"/>
            <w:vAlign w:val="center"/>
          </w:tcPr>
          <w:p>
            <w:r>
              <w:t xml:space="preserve">72</w:t>
            </w:r>
          </w:p>
        </w:tc>
        <w:tc>
          <w:tcPr>
            <w:tcW w:w="1661" w:type="pct"/>
            <w:vAlign w:val="center"/>
          </w:tcPr>
          <w:p>
            <w:r>
              <w:t xml:space="preserve">Prihodi od prodaje proizvedene dugotrajne imovine (šifre 721+722+723+724+725+726)</w:t>
            </w:r>
          </w:p>
        </w:tc>
        <w:tc>
          <w:tcPr>
            <w:tcW w:w="875" w:type="pct"/>
            <w:vAlign w:val="center"/>
          </w:tcPr>
          <w:p>
            <w:r>
              <w:t xml:space="preserve">72</w:t>
            </w:r>
          </w:p>
        </w:tc>
        <w:tc>
          <w:tcPr>
            <w:tcW w:w="643" w:type="pct"/>
            <w:vAlign w:val="center"/>
          </w:tcPr>
          <w:p>
            <w:r>
              <w:t xml:space="preserve">86,76</w:t>
            </w:r>
          </w:p>
        </w:tc>
        <w:tc>
          <w:tcPr>
            <w:tcW w:w="615" w:type="pct"/>
            <w:vAlign w:val="center"/>
          </w:tcPr>
          <w:p>
            <w:r>
              <w:t xml:space="preserve">0,00</w:t>
            </w:r>
          </w:p>
        </w:tc>
        <w:tc>
          <w:tcPr>
            <w:tcW w:w="384" w:type="pct"/>
            <w:vAlign w:val="center"/>
          </w:tcPr>
          <w:p>
            <w:r>
              <w:t xml:space="preserve">-</w:t>
            </w:r>
          </w:p>
        </w:tc>
      </w:tr>
    </w:tbl>
    <w:p>
      <w:pPr>
        <w:jc w:val="left"/>
      </w:pPr>
      <w:r>
        <w:t xml:space="preserve">Škola je iznajmljivala stambene objekte s čime se završilo u 2025. godini pa u tekućem razdoblju više nema prihoda od stambenih objekata.</w:t>
      </w:r>
    </w:p>
    <w:p>
      <w:pPr>
        <w:jc w:val="left"/>
      </w:pPr>
      <w:r>
        <w:t xml:space="preserve"> </w:t>
      </w:r>
    </w:p>
    <w:p>
      <w:pPr>
        <w:jc w:val="center"/>
      </w:pPr>
      <w:r>
        <w:t xml:space="preserve">Bilješka 7.</w:t>
      </w:r>
    </w:p>
    <w:tbl>
      <w:tblPr>
        <w:tblStyle w:val="TableGrid"/>
        <w:tblW w:w="5000" w:type="pct"/>
      </w:tblPr>
      <w:tblGrid>
        <w:gridCol w:w="1604"/>
        <w:gridCol w:w="3107"/>
        <w:gridCol w:w="1822"/>
        <w:gridCol w:w="1276"/>
        <w:gridCol w:w="1166"/>
        <w:gridCol w:w="650"/>
      </w:tblGrid>
      <w:tr>
        <w:trPr/>
        <w:tc>
          <w:tcPr>
            <w:tcW w:w="833" w:type="pct"/>
            <w:vAlign w:val="center"/>
          </w:tcPr>
          <w:p>
            <w:r>
              <w:t xml:space="preserve">Račun iz račun. plana</w:t>
            </w:r>
          </w:p>
        </w:tc>
        <w:tc>
          <w:tcPr>
            <w:tcW w:w="1614" w:type="pct"/>
            <w:vAlign w:val="center"/>
          </w:tcPr>
          <w:p>
            <w:r>
              <w:t xml:space="preserve">Opis stavke</w:t>
            </w:r>
          </w:p>
        </w:tc>
        <w:tc>
          <w:tcPr>
            <w:tcW w:w="946" w:type="pct"/>
            <w:vAlign w:val="center"/>
          </w:tcPr>
          <w:p>
            <w:r>
              <w:t xml:space="preserve">Šifra</w:t>
            </w:r>
          </w:p>
        </w:tc>
        <w:tc>
          <w:tcPr>
            <w:tcW w:w="662" w:type="pct"/>
            <w:vAlign w:val="center"/>
          </w:tcPr>
          <w:p>
            <w:r>
              <w:t xml:space="preserve">Ostvareno u izvještajnom razdoblju prethodne godine</w:t>
            </w:r>
          </w:p>
        </w:tc>
        <w:tc>
          <w:tcPr>
            <w:tcW w:w="605" w:type="pct"/>
            <w:vAlign w:val="center"/>
          </w:tcPr>
          <w:p>
            <w:r>
              <w:t xml:space="preserve">Ostvareno u izvještajnom razdoblju tekuće godine</w:t>
            </w:r>
          </w:p>
        </w:tc>
        <w:tc>
          <w:tcPr>
            <w:tcW w:w="337" w:type="pct"/>
            <w:vAlign w:val="center"/>
          </w:tcPr>
          <w:p>
            <w:r>
              <w:t xml:space="preserve">Indeks (%)</w:t>
            </w:r>
          </w:p>
        </w:tc>
      </w:tr>
      <w:tr>
        <w:trPr/>
        <w:tc>
          <w:tcPr>
            <w:tcW w:w="833" w:type="pct"/>
            <w:vAlign w:val="center"/>
          </w:tcPr>
          <w:p>
            <w:r>
              <w:t xml:space="preserve">42</w:t>
            </w:r>
          </w:p>
        </w:tc>
        <w:tc>
          <w:tcPr>
            <w:tcW w:w="1614" w:type="pct"/>
            <w:vAlign w:val="center"/>
          </w:tcPr>
          <w:p>
            <w:r>
              <w:t xml:space="preserve">Rashodi za nabavu proizvedene dugotrajne imovine (šifre 421+422+423+424+425+426)</w:t>
            </w:r>
          </w:p>
        </w:tc>
        <w:tc>
          <w:tcPr>
            <w:tcW w:w="946" w:type="pct"/>
            <w:vAlign w:val="center"/>
          </w:tcPr>
          <w:p>
            <w:r>
              <w:t xml:space="preserve">42</w:t>
            </w:r>
          </w:p>
        </w:tc>
        <w:tc>
          <w:tcPr>
            <w:tcW w:w="662" w:type="pct"/>
            <w:vAlign w:val="center"/>
          </w:tcPr>
          <w:p>
            <w:r>
              <w:t xml:space="preserve">5.600,50</w:t>
            </w:r>
          </w:p>
        </w:tc>
        <w:tc>
          <w:tcPr>
            <w:tcW w:w="605" w:type="pct"/>
            <w:vAlign w:val="center"/>
          </w:tcPr>
          <w:p>
            <w:r>
              <w:t xml:space="preserve">1.213,00</w:t>
            </w:r>
          </w:p>
        </w:tc>
        <w:tc>
          <w:tcPr>
            <w:tcW w:w="337" w:type="pct"/>
            <w:vAlign w:val="center"/>
          </w:tcPr>
          <w:p>
            <w:r>
              <w:t xml:space="preserve">21,7</w:t>
            </w:r>
          </w:p>
        </w:tc>
      </w:tr>
    </w:tbl>
    <w:p>
      <w:pPr>
        <w:jc w:val="left"/>
      </w:pPr>
      <w:r>
        <w:t xml:space="preserve">Rashodi za nabavu proizvedene dugotrajne imovine su smanjeni za 78,3% u tekućem izvještajnom razdoblju iz razloga što se nabavljao dio uredskog namještaja i opreme dok se ostatak nabave uredskog namještaja, opreme i dugotrajnog ulaganja planira tijekom tekuće godine. </w:t>
      </w:r>
    </w:p>
    <w:p>
      <w:pPr>
        <w:jc w:val="left"/>
      </w:pPr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jc w:val="center"/>
      </w:pPr>
      <w:r>
        <w:t xml:space="preserve">Bilješka 8.</w:t>
      </w:r>
    </w:p>
    <w:p>
      <w:pPr>
        <w:jc w:val="left"/>
      </w:pPr>
      <w:r>
        <w:rPr>
          <w:b/>
        </w:rPr>
        <w:t xml:space="preserve">EU izvještaj</w:t>
      </w:r>
    </w:p>
    <w:p>
      <w:pPr>
        <w:jc w:val="left"/>
      </w:pPr>
      <w:r>
        <w:t xml:space="preserve">Tekuće pomoći iz državnog proračuna temeljem prijenosa EU sredstava u tekućem izvještajnom razdoblju iznose 12.340,64 EUR i odnose se na uplate iz Erasmus+ projekta Sowing Change. Rashodi iznose 3.271,52 EUR i odnose se na službena putovanja.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06a0f709f543d2" /></Relationships>
</file>